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A0E8" w14:textId="77777777" w:rsidR="00011787" w:rsidRDefault="00011787" w:rsidP="00011787">
      <w:pPr>
        <w:rPr>
          <w:b/>
          <w:bCs/>
        </w:rPr>
      </w:pPr>
      <w:r w:rsidRPr="00011787">
        <w:rPr>
          <w:b/>
          <w:bCs/>
        </w:rPr>
        <w:t>JACO Design Investment System™</w:t>
      </w:r>
    </w:p>
    <w:p w14:paraId="0AC0FCE8" w14:textId="39B76E2A" w:rsidR="00011787" w:rsidRPr="00011787" w:rsidRDefault="00011787" w:rsidP="00011787">
      <w:pPr>
        <w:rPr>
          <w:b/>
          <w:bCs/>
        </w:rPr>
      </w:pPr>
      <w:r>
        <w:rPr>
          <w:b/>
          <w:bCs/>
        </w:rPr>
        <w:t>Summary</w:t>
      </w:r>
    </w:p>
    <w:p w14:paraId="4785CC35" w14:textId="77777777" w:rsidR="00011787" w:rsidRPr="00011787" w:rsidRDefault="00011787" w:rsidP="00011787">
      <w:pPr>
        <w:rPr>
          <w:b/>
          <w:bCs/>
        </w:rPr>
      </w:pPr>
      <w:r w:rsidRPr="00011787">
        <w:rPr>
          <w:b/>
          <w:bCs/>
        </w:rPr>
        <w:t>Phase 1 – Investment Selection</w:t>
      </w:r>
    </w:p>
    <w:p w14:paraId="72F7E49E" w14:textId="77777777" w:rsidR="00011787" w:rsidRPr="00011787" w:rsidRDefault="00011787" w:rsidP="00011787">
      <w:r w:rsidRPr="00011787">
        <w:t>Identify financially strong companies using objective fundamental analysis, including the Simply Wall St methodology and your own engineering-based evaluation process.</w:t>
      </w:r>
    </w:p>
    <w:p w14:paraId="2B0A79A9" w14:textId="77777777" w:rsidR="00011787" w:rsidRPr="00011787" w:rsidRDefault="00011787" w:rsidP="00011787">
      <w:pPr>
        <w:rPr>
          <w:b/>
          <w:bCs/>
        </w:rPr>
      </w:pPr>
      <w:r w:rsidRPr="00011787">
        <w:rPr>
          <w:b/>
          <w:bCs/>
        </w:rPr>
        <w:t>Phase 2 – Income Strategy</w:t>
      </w:r>
    </w:p>
    <w:p w14:paraId="4BEA1066" w14:textId="77777777" w:rsidR="00011787" w:rsidRPr="00011787" w:rsidRDefault="00011787" w:rsidP="00011787">
      <w:r w:rsidRPr="00011787">
        <w:t>For senior notes, baby bonds, and preferred stocks, optimize purchases and sales based on the ex-dividend cycle while emphasizing safety, credit quality, and sustainable income.</w:t>
      </w:r>
    </w:p>
    <w:p w14:paraId="6D84083F" w14:textId="77777777" w:rsidR="00011787" w:rsidRPr="00011787" w:rsidRDefault="00011787" w:rsidP="00011787">
      <w:pPr>
        <w:rPr>
          <w:b/>
          <w:bCs/>
        </w:rPr>
      </w:pPr>
      <w:r w:rsidRPr="00011787">
        <w:rPr>
          <w:b/>
          <w:bCs/>
        </w:rPr>
        <w:t>Phase 3 – Technical Trading Plan</w:t>
      </w:r>
    </w:p>
    <w:p w14:paraId="7D3D4801" w14:textId="77777777" w:rsidR="00011787" w:rsidRPr="00011787" w:rsidRDefault="00011787" w:rsidP="00011787">
      <w:r w:rsidRPr="00011787">
        <w:t>Use objective technical indicators to determine when to buy, add to positions, reduce risk, or take profits.</w:t>
      </w:r>
    </w:p>
    <w:p w14:paraId="33003697" w14:textId="77777777" w:rsidR="00011787" w:rsidRPr="00011787" w:rsidRDefault="00011787" w:rsidP="00011787">
      <w:r w:rsidRPr="00011787">
        <w:t>Tools include:</w:t>
      </w:r>
    </w:p>
    <w:p w14:paraId="2A3B0BCF" w14:textId="77777777" w:rsidR="00011787" w:rsidRPr="00011787" w:rsidRDefault="00011787" w:rsidP="00011787">
      <w:pPr>
        <w:numPr>
          <w:ilvl w:val="0"/>
          <w:numId w:val="6"/>
        </w:numPr>
      </w:pPr>
      <w:r w:rsidRPr="00011787">
        <w:t xml:space="preserve">Trend Analysis </w:t>
      </w:r>
    </w:p>
    <w:p w14:paraId="3640CC95" w14:textId="77777777" w:rsidR="00011787" w:rsidRPr="00011787" w:rsidRDefault="00011787" w:rsidP="00011787">
      <w:pPr>
        <w:numPr>
          <w:ilvl w:val="0"/>
          <w:numId w:val="6"/>
        </w:numPr>
      </w:pPr>
      <w:r w:rsidRPr="00011787">
        <w:t xml:space="preserve">RSI </w:t>
      </w:r>
    </w:p>
    <w:p w14:paraId="6EF5356F" w14:textId="77777777" w:rsidR="00011787" w:rsidRPr="00011787" w:rsidRDefault="00011787" w:rsidP="00011787">
      <w:pPr>
        <w:numPr>
          <w:ilvl w:val="0"/>
          <w:numId w:val="6"/>
        </w:numPr>
      </w:pPr>
      <w:r w:rsidRPr="00011787">
        <w:t xml:space="preserve">MACD </w:t>
      </w:r>
    </w:p>
    <w:p w14:paraId="500FE433" w14:textId="77777777" w:rsidR="00011787" w:rsidRPr="00011787" w:rsidRDefault="00011787" w:rsidP="00011787">
      <w:pPr>
        <w:numPr>
          <w:ilvl w:val="0"/>
          <w:numId w:val="6"/>
        </w:numPr>
      </w:pPr>
      <w:r w:rsidRPr="00011787">
        <w:t xml:space="preserve">Bollinger Bands® </w:t>
      </w:r>
    </w:p>
    <w:p w14:paraId="0CB2628E" w14:textId="77777777" w:rsidR="00011787" w:rsidRPr="00011787" w:rsidRDefault="00011787" w:rsidP="00011787">
      <w:pPr>
        <w:numPr>
          <w:ilvl w:val="0"/>
          <w:numId w:val="6"/>
        </w:numPr>
      </w:pPr>
      <w:r w:rsidRPr="00011787">
        <w:t xml:space="preserve">On-Balance Volume (OBV) </w:t>
      </w:r>
    </w:p>
    <w:p w14:paraId="327B95E3" w14:textId="77777777" w:rsidR="00011787" w:rsidRPr="00011787" w:rsidRDefault="00011787" w:rsidP="00011787">
      <w:pPr>
        <w:numPr>
          <w:ilvl w:val="0"/>
          <w:numId w:val="6"/>
        </w:numPr>
      </w:pPr>
      <w:r w:rsidRPr="00011787">
        <w:t xml:space="preserve">Momentum </w:t>
      </w:r>
    </w:p>
    <w:p w14:paraId="4A31F710" w14:textId="77777777" w:rsidR="00011787" w:rsidRPr="00011787" w:rsidRDefault="00011787" w:rsidP="00011787">
      <w:pPr>
        <w:numPr>
          <w:ilvl w:val="0"/>
          <w:numId w:val="6"/>
        </w:numPr>
      </w:pPr>
      <w:r w:rsidRPr="00011787">
        <w:t xml:space="preserve">Support &amp; Resistance </w:t>
      </w:r>
    </w:p>
    <w:p w14:paraId="79DFF33B" w14:textId="77777777" w:rsidR="00011787" w:rsidRPr="00011787" w:rsidRDefault="00011787" w:rsidP="00011787">
      <w:pPr>
        <w:rPr>
          <w:b/>
          <w:bCs/>
        </w:rPr>
      </w:pPr>
      <w:r w:rsidRPr="00011787">
        <w:rPr>
          <w:b/>
          <w:bCs/>
        </w:rPr>
        <w:t>Phase 4 – Capital Management</w:t>
      </w:r>
    </w:p>
    <w:p w14:paraId="1F831725" w14:textId="77777777" w:rsidR="00011787" w:rsidRPr="00011787" w:rsidRDefault="00011787" w:rsidP="00011787">
      <w:r w:rsidRPr="00011787">
        <w:t>Determine appropriate position sizes, diversify intelligently, reinvest income when appropriate, and manage retirement withdrawals using the downloadable Retirement Capital Planner.</w:t>
      </w:r>
    </w:p>
    <w:p w14:paraId="031BB1E6" w14:textId="77777777" w:rsidR="00011787" w:rsidRPr="00011787" w:rsidRDefault="00011787" w:rsidP="00011787">
      <w:pPr>
        <w:rPr>
          <w:b/>
          <w:bCs/>
        </w:rPr>
      </w:pPr>
      <w:r w:rsidRPr="00011787">
        <w:rPr>
          <w:b/>
          <w:bCs/>
        </w:rPr>
        <w:t>Phase 5 – Annual Design Review</w:t>
      </w:r>
    </w:p>
    <w:p w14:paraId="588474A8" w14:textId="77777777" w:rsidR="00011787" w:rsidRDefault="00011787" w:rsidP="00011787">
      <w:r w:rsidRPr="00011787">
        <w:t>Review every holding using the same disciplined process, update assumptions, rebalance when necessary, and maintain a written investment plan.</w:t>
      </w:r>
    </w:p>
    <w:p w14:paraId="7F00C696" w14:textId="77777777" w:rsidR="00011787" w:rsidRPr="00011787" w:rsidRDefault="00011787" w:rsidP="00011787"/>
    <w:p w14:paraId="11173040" w14:textId="77777777" w:rsidR="00011787" w:rsidRDefault="00011787" w:rsidP="00D50C7C"/>
    <w:p w14:paraId="011663F2" w14:textId="77777777" w:rsidR="00011787" w:rsidRPr="00011787" w:rsidRDefault="00011787" w:rsidP="00D50C7C">
      <w:pPr>
        <w:rPr>
          <w:b/>
          <w:bCs/>
        </w:rPr>
      </w:pPr>
      <w:r w:rsidRPr="00011787">
        <w:rPr>
          <w:b/>
          <w:bCs/>
        </w:rPr>
        <w:lastRenderedPageBreak/>
        <w:t>Details</w:t>
      </w:r>
    </w:p>
    <w:p w14:paraId="4BF7EC1B" w14:textId="6BC85FF6" w:rsidR="00D50C7C" w:rsidRPr="00D50C7C" w:rsidRDefault="00D50C7C" w:rsidP="00D50C7C">
      <w:r w:rsidRPr="00D50C7C">
        <w:t xml:space="preserve">Investing begins with identifying outstanding investments. For senior notes, baby bonds, and preferred stocks, that process begins with evaluating the issuing company using the Simply Wall St methodology described in detail in </w:t>
      </w:r>
      <w:r w:rsidRPr="00D50C7C">
        <w:rPr>
          <w:i/>
          <w:iCs/>
        </w:rPr>
        <w:t>The Design of Retirement Capital</w:t>
      </w:r>
      <w:r w:rsidRPr="00D50C7C">
        <w:t>.</w:t>
      </w:r>
    </w:p>
    <w:p w14:paraId="0129B270" w14:textId="77777777" w:rsidR="00D50C7C" w:rsidRPr="00D50C7C" w:rsidRDefault="00D50C7C" w:rsidP="00D50C7C">
      <w:r w:rsidRPr="00D50C7C">
        <w:t>For income securities, purchase and sale decisions also consider where the security is within its ex-dividend cycle, helping investors maximize income while avoiding unnecessary price premiums.</w:t>
      </w:r>
    </w:p>
    <w:p w14:paraId="37AF1202" w14:textId="77777777" w:rsidR="00D50C7C" w:rsidRPr="00D50C7C" w:rsidRDefault="00D50C7C" w:rsidP="00D50C7C">
      <w:r w:rsidRPr="00D50C7C">
        <w:t>For index funds, technical analysis becomes the primary decision-making tool. The Design Technical Trading Plan™ provides a disciplined framework for determining when to buy, add to positions, reduce risk, or take profits.</w:t>
      </w:r>
    </w:p>
    <w:p w14:paraId="5252ADB8" w14:textId="77777777" w:rsidR="00D50C7C" w:rsidRPr="00D50C7C" w:rsidRDefault="00D50C7C" w:rsidP="00D50C7C">
      <w:r w:rsidRPr="00D50C7C">
        <w:t>The Design Technical Trading Plan™ is not designed to predict the market. It is designed to help investors make consistent, repeatable decisions using objective market data rather than emotion.</w:t>
      </w:r>
    </w:p>
    <w:p w14:paraId="48DF4CBA" w14:textId="77777777" w:rsidR="00D50C7C" w:rsidRPr="00D50C7C" w:rsidRDefault="00D50C7C" w:rsidP="00D50C7C">
      <w:r w:rsidRPr="00D50C7C">
        <w:t>The System Combines</w:t>
      </w:r>
    </w:p>
    <w:p w14:paraId="398F5017" w14:textId="77777777" w:rsidR="00D50C7C" w:rsidRPr="00D50C7C" w:rsidRDefault="00D50C7C" w:rsidP="00D50C7C">
      <w:pPr>
        <w:numPr>
          <w:ilvl w:val="0"/>
          <w:numId w:val="3"/>
        </w:numPr>
      </w:pPr>
      <w:r w:rsidRPr="00D50C7C">
        <w:t xml:space="preserve">Trend Analysis – Determine whether the market is advancing, weakening, or changing direction. </w:t>
      </w:r>
    </w:p>
    <w:p w14:paraId="4A005800" w14:textId="77777777" w:rsidR="00D50C7C" w:rsidRPr="00D50C7C" w:rsidRDefault="00D50C7C" w:rsidP="00D50C7C">
      <w:pPr>
        <w:numPr>
          <w:ilvl w:val="0"/>
          <w:numId w:val="3"/>
        </w:numPr>
      </w:pPr>
      <w:r w:rsidRPr="00D50C7C">
        <w:t xml:space="preserve">Relative Strength Index (RSI) – Identify when prices may be overbought or oversold. </w:t>
      </w:r>
    </w:p>
    <w:p w14:paraId="0A3CC315" w14:textId="77777777" w:rsidR="00D50C7C" w:rsidRPr="00D50C7C" w:rsidRDefault="00D50C7C" w:rsidP="00D50C7C">
      <w:pPr>
        <w:numPr>
          <w:ilvl w:val="0"/>
          <w:numId w:val="3"/>
        </w:numPr>
      </w:pPr>
      <w:r w:rsidRPr="00D50C7C">
        <w:t xml:space="preserve">MACD – Confirm changes in momentum and trend. </w:t>
      </w:r>
    </w:p>
    <w:p w14:paraId="5814B041" w14:textId="77777777" w:rsidR="00D50C7C" w:rsidRPr="00D50C7C" w:rsidRDefault="00D50C7C" w:rsidP="00D50C7C">
      <w:pPr>
        <w:numPr>
          <w:ilvl w:val="0"/>
          <w:numId w:val="3"/>
        </w:numPr>
      </w:pPr>
      <w:r w:rsidRPr="00D50C7C">
        <w:t xml:space="preserve">Bollinger Bands® – Evaluate whether prices have moved significantly above or below their normal trading range. </w:t>
      </w:r>
    </w:p>
    <w:p w14:paraId="2CBA8D39" w14:textId="77777777" w:rsidR="00D50C7C" w:rsidRPr="00D50C7C" w:rsidRDefault="00D50C7C" w:rsidP="00D50C7C">
      <w:pPr>
        <w:numPr>
          <w:ilvl w:val="0"/>
          <w:numId w:val="3"/>
        </w:numPr>
      </w:pPr>
      <w:r w:rsidRPr="00D50C7C">
        <w:t xml:space="preserve">On-Balance Volume (OBV) – Confirm whether institutional investors are accumulating or distributing shares. </w:t>
      </w:r>
    </w:p>
    <w:p w14:paraId="0BC894DC" w14:textId="77777777" w:rsidR="00D50C7C" w:rsidRPr="00D50C7C" w:rsidRDefault="00D50C7C" w:rsidP="00D50C7C">
      <w:pPr>
        <w:numPr>
          <w:ilvl w:val="0"/>
          <w:numId w:val="3"/>
        </w:numPr>
      </w:pPr>
      <w:r w:rsidRPr="00D50C7C">
        <w:t xml:space="preserve">Momentum Indicators – Measure the strength of price movement. </w:t>
      </w:r>
    </w:p>
    <w:p w14:paraId="29036489" w14:textId="77777777" w:rsidR="00D50C7C" w:rsidRPr="00D50C7C" w:rsidRDefault="00D50C7C" w:rsidP="00D50C7C">
      <w:pPr>
        <w:numPr>
          <w:ilvl w:val="0"/>
          <w:numId w:val="3"/>
        </w:numPr>
      </w:pPr>
      <w:r w:rsidRPr="00D50C7C">
        <w:t xml:space="preserve">Support and Resistance – Identify logical buying, adding, and profit-taking opportunities. </w:t>
      </w:r>
    </w:p>
    <w:p w14:paraId="0234A07C" w14:textId="77777777" w:rsidR="00D50C7C" w:rsidRPr="00D50C7C" w:rsidRDefault="00D50C7C" w:rsidP="00D50C7C">
      <w:r w:rsidRPr="00D50C7C">
        <w:t>The Design Process</w:t>
      </w:r>
    </w:p>
    <w:p w14:paraId="37FD57D0" w14:textId="77777777" w:rsidR="00D50C7C" w:rsidRPr="00D50C7C" w:rsidRDefault="00D50C7C" w:rsidP="00D50C7C">
      <w:pPr>
        <w:numPr>
          <w:ilvl w:val="0"/>
          <w:numId w:val="4"/>
        </w:numPr>
      </w:pPr>
      <w:r w:rsidRPr="00D50C7C">
        <w:t xml:space="preserve">Select financially strong companies or diversified index funds. </w:t>
      </w:r>
    </w:p>
    <w:p w14:paraId="0D1EAB32" w14:textId="77777777" w:rsidR="00D50C7C" w:rsidRPr="00D50C7C" w:rsidRDefault="00D50C7C" w:rsidP="00D50C7C">
      <w:pPr>
        <w:numPr>
          <w:ilvl w:val="0"/>
          <w:numId w:val="4"/>
        </w:numPr>
      </w:pPr>
      <w:r w:rsidRPr="00D50C7C">
        <w:t xml:space="preserve">Evaluate the overall market trend. </w:t>
      </w:r>
    </w:p>
    <w:p w14:paraId="6C9A6578" w14:textId="77777777" w:rsidR="00D50C7C" w:rsidRPr="00D50C7C" w:rsidRDefault="00D50C7C" w:rsidP="00D50C7C">
      <w:pPr>
        <w:numPr>
          <w:ilvl w:val="0"/>
          <w:numId w:val="4"/>
        </w:numPr>
      </w:pPr>
      <w:r w:rsidRPr="00D50C7C">
        <w:t xml:space="preserve">Wait for favorable technical conditions. </w:t>
      </w:r>
    </w:p>
    <w:p w14:paraId="7A33914B" w14:textId="77777777" w:rsidR="00D50C7C" w:rsidRPr="00D50C7C" w:rsidRDefault="00D50C7C" w:rsidP="00D50C7C">
      <w:pPr>
        <w:numPr>
          <w:ilvl w:val="0"/>
          <w:numId w:val="4"/>
        </w:numPr>
      </w:pPr>
      <w:r w:rsidRPr="00D50C7C">
        <w:t xml:space="preserve">Buy in stages rather than committing all capital at once. </w:t>
      </w:r>
    </w:p>
    <w:p w14:paraId="2759EF3F" w14:textId="77777777" w:rsidR="00D50C7C" w:rsidRPr="00D50C7C" w:rsidRDefault="00D50C7C" w:rsidP="00D50C7C">
      <w:pPr>
        <w:numPr>
          <w:ilvl w:val="0"/>
          <w:numId w:val="4"/>
        </w:numPr>
      </w:pPr>
      <w:r w:rsidRPr="00D50C7C">
        <w:t xml:space="preserve">Review positions regularly using objective indicators. </w:t>
      </w:r>
    </w:p>
    <w:p w14:paraId="403C073F" w14:textId="77777777" w:rsidR="00D50C7C" w:rsidRPr="00D50C7C" w:rsidRDefault="00D50C7C" w:rsidP="00D50C7C">
      <w:pPr>
        <w:numPr>
          <w:ilvl w:val="0"/>
          <w:numId w:val="4"/>
        </w:numPr>
      </w:pPr>
      <w:r w:rsidRPr="00D50C7C">
        <w:t xml:space="preserve">Let discipline—not emotion—guide every investment decision. </w:t>
      </w:r>
    </w:p>
    <w:p w14:paraId="59EEE10A" w14:textId="77777777" w:rsidR="00D50C7C" w:rsidRPr="00D50C7C" w:rsidRDefault="00D50C7C" w:rsidP="00D50C7C">
      <w:r w:rsidRPr="00D50C7C">
        <w:t>Why It Matters</w:t>
      </w:r>
    </w:p>
    <w:p w14:paraId="3C3C1EB7" w14:textId="4B2CE594" w:rsidR="00D50C7C" w:rsidRPr="00D50C7C" w:rsidRDefault="00D50C7C" w:rsidP="00D50C7C">
      <w:r w:rsidRPr="00D50C7C">
        <w:lastRenderedPageBreak/>
        <w:t>The objective is not to buy at the exact bottom or sell at the exact top. The objective is to improve the probability of making sound investment decisions while avoiding many of the emotional mistakes that reduce long-term returns.</w:t>
      </w:r>
      <w:r w:rsidR="00011787">
        <w:t xml:space="preserve"> To keep the ball in the fairway.</w:t>
      </w:r>
    </w:p>
    <w:p w14:paraId="69732367" w14:textId="77777777" w:rsidR="00D50C7C" w:rsidRPr="00D50C7C" w:rsidRDefault="00D50C7C" w:rsidP="00D50C7C">
      <w:r w:rsidRPr="00D50C7C">
        <w:t>The Design Technical Trading Plan™ works alongside fundamental company analysis to provide a disciplined investment process. Together, they help investors build, protect, and manage retirement capital with confidence.</w:t>
      </w:r>
    </w:p>
    <w:p w14:paraId="012206DB" w14:textId="77777777" w:rsidR="00D50C7C" w:rsidRPr="00D50C7C" w:rsidRDefault="00D50C7C" w:rsidP="00D50C7C">
      <w:r w:rsidRPr="00D50C7C">
        <w:t>The complete methodology—including examples, indicator explanations, investment checklists, and a downloadable Excel-based Retirement Capital Planner</w:t>
      </w:r>
      <w:proofErr w:type="gramStart"/>
      <w:r w:rsidRPr="00D50C7C">
        <w:t>—is included</w:t>
      </w:r>
      <w:proofErr w:type="gramEnd"/>
      <w:r w:rsidRPr="00D50C7C">
        <w:t xml:space="preserve"> in </w:t>
      </w:r>
      <w:r w:rsidRPr="00D50C7C">
        <w:rPr>
          <w:i/>
          <w:iCs/>
        </w:rPr>
        <w:t>The Design of Retirement Capital</w:t>
      </w:r>
      <w:r w:rsidRPr="00D50C7C">
        <w:t xml:space="preserve"> to help readers build wealth before retirement and preserve it throughout retirement.</w:t>
      </w:r>
    </w:p>
    <w:p w14:paraId="0CE238BE" w14:textId="3BB18BDD" w:rsidR="00A95040" w:rsidRPr="00D50C7C" w:rsidRDefault="00A95040"/>
    <w:sectPr w:rsidR="00A95040" w:rsidRPr="00D50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396B"/>
    <w:multiLevelType w:val="multilevel"/>
    <w:tmpl w:val="E2767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D169AE"/>
    <w:multiLevelType w:val="multilevel"/>
    <w:tmpl w:val="F488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9718CA"/>
    <w:multiLevelType w:val="multilevel"/>
    <w:tmpl w:val="490A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F39C1"/>
    <w:multiLevelType w:val="multilevel"/>
    <w:tmpl w:val="DCF2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9084F"/>
    <w:multiLevelType w:val="multilevel"/>
    <w:tmpl w:val="B914B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6F1105"/>
    <w:multiLevelType w:val="multilevel"/>
    <w:tmpl w:val="6348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259749">
    <w:abstractNumId w:val="3"/>
  </w:num>
  <w:num w:numId="2" w16cid:durableId="366027258">
    <w:abstractNumId w:val="1"/>
  </w:num>
  <w:num w:numId="3" w16cid:durableId="692269216">
    <w:abstractNumId w:val="5"/>
  </w:num>
  <w:num w:numId="4" w16cid:durableId="1856966206">
    <w:abstractNumId w:val="4"/>
  </w:num>
  <w:num w:numId="5" w16cid:durableId="302924959">
    <w:abstractNumId w:val="0"/>
  </w:num>
  <w:num w:numId="6" w16cid:durableId="504367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220EF"/>
    <w:rsid w:val="00011787"/>
    <w:rsid w:val="000703E2"/>
    <w:rsid w:val="009458A3"/>
    <w:rsid w:val="00A95040"/>
    <w:rsid w:val="00B739F6"/>
    <w:rsid w:val="00BF6FD5"/>
    <w:rsid w:val="00D50C7C"/>
    <w:rsid w:val="00F22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6F57"/>
  <w15:chartTrackingRefBased/>
  <w15:docId w15:val="{9B9FBA48-776A-4C2F-985C-1C3C6E83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0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220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220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220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220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22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0E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220E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220E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220E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220E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22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0EF"/>
    <w:rPr>
      <w:rFonts w:eastAsiaTheme="majorEastAsia" w:cstheme="majorBidi"/>
      <w:color w:val="272727" w:themeColor="text1" w:themeTint="D8"/>
    </w:rPr>
  </w:style>
  <w:style w:type="paragraph" w:styleId="Title">
    <w:name w:val="Title"/>
    <w:basedOn w:val="Normal"/>
    <w:next w:val="Normal"/>
    <w:link w:val="TitleChar"/>
    <w:uiPriority w:val="10"/>
    <w:qFormat/>
    <w:rsid w:val="00F22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0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0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20EF"/>
    <w:rPr>
      <w:i/>
      <w:iCs/>
      <w:color w:val="404040" w:themeColor="text1" w:themeTint="BF"/>
    </w:rPr>
  </w:style>
  <w:style w:type="paragraph" w:styleId="ListParagraph">
    <w:name w:val="List Paragraph"/>
    <w:basedOn w:val="Normal"/>
    <w:uiPriority w:val="34"/>
    <w:qFormat/>
    <w:rsid w:val="00F220EF"/>
    <w:pPr>
      <w:ind w:left="720"/>
      <w:contextualSpacing/>
    </w:pPr>
  </w:style>
  <w:style w:type="character" w:styleId="IntenseEmphasis">
    <w:name w:val="Intense Emphasis"/>
    <w:basedOn w:val="DefaultParagraphFont"/>
    <w:uiPriority w:val="21"/>
    <w:qFormat/>
    <w:rsid w:val="00F220EF"/>
    <w:rPr>
      <w:i/>
      <w:iCs/>
      <w:color w:val="365F91" w:themeColor="accent1" w:themeShade="BF"/>
    </w:rPr>
  </w:style>
  <w:style w:type="paragraph" w:styleId="IntenseQuote">
    <w:name w:val="Intense Quote"/>
    <w:basedOn w:val="Normal"/>
    <w:next w:val="Normal"/>
    <w:link w:val="IntenseQuoteChar"/>
    <w:uiPriority w:val="30"/>
    <w:qFormat/>
    <w:rsid w:val="00F220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220EF"/>
    <w:rPr>
      <w:i/>
      <w:iCs/>
      <w:color w:val="365F91" w:themeColor="accent1" w:themeShade="BF"/>
    </w:rPr>
  </w:style>
  <w:style w:type="character" w:styleId="IntenseReference">
    <w:name w:val="Intense Reference"/>
    <w:basedOn w:val="DefaultParagraphFont"/>
    <w:uiPriority w:val="32"/>
    <w:qFormat/>
    <w:rsid w:val="00F220E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1282</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Jacobus</dc:creator>
  <cp:keywords/>
  <dc:description/>
  <cp:lastModifiedBy>Charles Jacobus</cp:lastModifiedBy>
  <cp:revision>1</cp:revision>
  <dcterms:created xsi:type="dcterms:W3CDTF">2026-08-07T21:39:00Z</dcterms:created>
  <dcterms:modified xsi:type="dcterms:W3CDTF">2026-08-08T19:58:00Z</dcterms:modified>
</cp:coreProperties>
</file>